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B6E0" w14:textId="77777777" w:rsidR="00652C6E" w:rsidRDefault="00652C6E" w:rsidP="00652C6E">
      <w:pPr>
        <w:jc w:val="center"/>
      </w:pPr>
      <w:r>
        <w:rPr>
          <w:noProof/>
        </w:rPr>
        <w:drawing>
          <wp:inline distT="0" distB="0" distL="0" distR="0" wp14:anchorId="0B2E505F" wp14:editId="0ACE0C81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E573D" w14:textId="77777777" w:rsidR="00652C6E" w:rsidRDefault="00652C6E" w:rsidP="00652C6E"/>
    <w:p w14:paraId="57258AEA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564F0A7C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3152268B" w14:textId="77777777" w:rsidR="00652C6E" w:rsidRPr="0039685D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14:paraId="379D60C3" w14:textId="77777777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14:paraId="2B95F082" w14:textId="61F53DA6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>საქართველოს 20</w:t>
      </w:r>
      <w:r w:rsidR="00D668F6">
        <w:rPr>
          <w:rFonts w:ascii="Sylfaen" w:hAnsi="Sylfaen"/>
          <w:b/>
          <w:bCs/>
          <w:sz w:val="36"/>
          <w:szCs w:val="36"/>
        </w:rPr>
        <w:t>20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>ბიუჯეტის</w:t>
      </w:r>
      <w:r w:rsidR="006B79C8">
        <w:rPr>
          <w:rFonts w:ascii="Sylfaen" w:hAnsi="Sylfaen"/>
          <w:b/>
          <w:bCs/>
          <w:sz w:val="36"/>
          <w:szCs w:val="36"/>
        </w:rPr>
        <w:t xml:space="preserve"> </w:t>
      </w:r>
      <w:r w:rsidR="006B79C8" w:rsidRPr="006B79C8">
        <w:rPr>
          <w:rFonts w:ascii="Sylfaen" w:hAnsi="Sylfaen"/>
          <w:b/>
          <w:bCs/>
          <w:sz w:val="36"/>
          <w:szCs w:val="36"/>
          <w:lang w:val="ka-GE"/>
        </w:rPr>
        <w:t>პირველი კვარტლის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 xml:space="preserve"> შესრულების მიმოხილვა </w:t>
      </w:r>
    </w:p>
    <w:p w14:paraId="323872A2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3A928EAA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2377D31F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6EB0B0D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213D3CE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DB156C3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675A30E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A132BB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1C80F9DA" w14:textId="77777777" w:rsidR="00652C6E" w:rsidRPr="00F84091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14:paraId="1AFDE907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14:paraId="19E17A4D" w14:textId="2CBB726D" w:rsidR="00652C6E" w:rsidRPr="00D668F6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20</w:t>
      </w:r>
      <w:r w:rsidR="00D668F6">
        <w:rPr>
          <w:rFonts w:ascii="Sylfaen" w:hAnsi="Sylfaen"/>
          <w:b/>
          <w:bCs/>
          <w:sz w:val="28"/>
          <w:szCs w:val="28"/>
        </w:rPr>
        <w:t>20</w:t>
      </w:r>
    </w:p>
    <w:p w14:paraId="7A1D9DC2" w14:textId="77777777" w:rsidR="00652C6E" w:rsidRDefault="00652C6E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5D3A07BF" w14:textId="2A0BD1E0" w:rsidR="00652C6E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227F433C" w14:textId="77777777" w:rsidR="00DC01FE" w:rsidRDefault="00DC01F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668E9771" w14:textId="77777777" w:rsidR="001322B1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 w:cs="Sylfaen"/>
          <w:b/>
          <w:noProof/>
          <w:sz w:val="28"/>
          <w:szCs w:val="28"/>
          <w:lang w:val="pt-BR"/>
        </w:rPr>
        <w:lastRenderedPageBreak/>
        <w:t>თავი</w:t>
      </w:r>
      <w:r w:rsidR="001322B1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14:paraId="0754C9F5" w14:textId="77777777" w:rsidR="00D71170" w:rsidRPr="00185F45" w:rsidRDefault="00D71170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5AD471CD" w14:textId="314A13F8" w:rsidR="007E6BC3" w:rsidRDefault="006B79C8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>20</w:t>
      </w:r>
      <w:r w:rsidR="00DC01FE">
        <w:rPr>
          <w:rFonts w:ascii="Sylfaen" w:hAnsi="Sylfaen" w:cs="Sylfaen"/>
          <w:b/>
          <w:noProof/>
          <w:sz w:val="28"/>
          <w:szCs w:val="28"/>
          <w:lang w:val="pt-BR"/>
        </w:rPr>
        <w:t>20</w:t>
      </w:r>
      <w:bookmarkStart w:id="0" w:name="_GoBack"/>
      <w:bookmarkEnd w:id="0"/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წლის I კვარტლის საქართველოს სახელმწიფო ბიუჯეტის შესრულების მაჩვენებლები</w:t>
      </w:r>
    </w:p>
    <w:p w14:paraId="231EAF59" w14:textId="77777777"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6B39B60E" w14:textId="63065633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185F45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0525D253" w14:textId="17026DEE" w:rsidR="00D668F6" w:rsidRDefault="00D668F6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63"/>
        <w:gridCol w:w="1744"/>
        <w:gridCol w:w="1648"/>
        <w:gridCol w:w="1545"/>
      </w:tblGrid>
      <w:tr w:rsidR="00D668F6" w14:paraId="65AEDEA8" w14:textId="77777777" w:rsidTr="00D668F6">
        <w:trPr>
          <w:trHeight w:val="288"/>
          <w:tblHeader/>
        </w:trPr>
        <w:tc>
          <w:tcPr>
            <w:tcW w:w="2693" w:type="pct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2F8CD143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15" w:type="pct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844D021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70" w:type="pct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2F16532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1C3F585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D668F6" w14:paraId="6973CD4B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0A0D017" w14:textId="77777777" w:rsidR="00D668F6" w:rsidRDefault="00D668F6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45BBBE7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2,635,817.0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E445394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2,839,478.2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E471EC1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107.7%</w:t>
            </w:r>
          </w:p>
        </w:tc>
      </w:tr>
      <w:tr w:rsidR="00D668F6" w14:paraId="1D53A344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A97A7C4" w14:textId="77777777" w:rsidR="00D668F6" w:rsidRDefault="00D668F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გადასახადები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70BC4CC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2,512,860.0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2989A199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2,673,040.3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20093C1B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106.4%</w:t>
            </w:r>
          </w:p>
        </w:tc>
      </w:tr>
      <w:tr w:rsidR="00D668F6" w14:paraId="126F25A7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2CAB17CF" w14:textId="77777777" w:rsidR="00D668F6" w:rsidRDefault="00D668F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ABD2B34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24,172.0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62F3CEA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30,065.1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D409A5F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124.4%</w:t>
            </w:r>
          </w:p>
        </w:tc>
      </w:tr>
      <w:tr w:rsidR="00D668F6" w14:paraId="13A4F8BF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D0423CD" w14:textId="77777777" w:rsidR="00D668F6" w:rsidRDefault="00D668F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2DE48CA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98,785.0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49B34A5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136,372.9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213F4774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138.1%</w:t>
            </w:r>
          </w:p>
        </w:tc>
      </w:tr>
      <w:tr w:rsidR="00D668F6" w14:paraId="7BF81726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AE7756E" w14:textId="77777777" w:rsidR="00D668F6" w:rsidRDefault="00D668F6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C90BFB8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2,949,407.3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817EFFA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2,750,152.4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95E2683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93.2%</w:t>
            </w:r>
          </w:p>
        </w:tc>
      </w:tr>
      <w:tr w:rsidR="00D668F6" w14:paraId="7C7213B5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79D0968" w14:textId="77777777" w:rsidR="00D668F6" w:rsidRDefault="00D668F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E7EDDAE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385,133.1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40B42A3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371,589.9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F084CAA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96.5%</w:t>
            </w:r>
          </w:p>
        </w:tc>
      </w:tr>
      <w:tr w:rsidR="00D668F6" w14:paraId="4C404220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F6B13FE" w14:textId="77777777" w:rsidR="00D668F6" w:rsidRDefault="00D668F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9EAE040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396,597.7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2A9BD16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292,576.5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4C7B38F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73.8%</w:t>
            </w:r>
          </w:p>
        </w:tc>
      </w:tr>
      <w:tr w:rsidR="00D668F6" w14:paraId="3A8B12D3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835A2E9" w14:textId="77777777" w:rsidR="00D668F6" w:rsidRDefault="00D668F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CB7A3F5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173,031.0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C19A347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169,025.8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E99BA41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97.7%</w:t>
            </w:r>
          </w:p>
        </w:tc>
      </w:tr>
      <w:tr w:rsidR="00D668F6" w14:paraId="7AD797A6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45DFFDF" w14:textId="77777777" w:rsidR="00D668F6" w:rsidRDefault="00D668F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252DD1F9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134,180.1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69DD0DA1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125,563.6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6060C0F6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93.6%</w:t>
            </w:r>
          </w:p>
        </w:tc>
      </w:tr>
      <w:tr w:rsidR="00D668F6" w14:paraId="45A9B7C3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BE1A5EE" w14:textId="77777777" w:rsidR="00D668F6" w:rsidRDefault="00D668F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AA76138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179,216.9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62497F4D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132,904.2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8A5A4A2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74.2%</w:t>
            </w:r>
          </w:p>
        </w:tc>
      </w:tr>
      <w:tr w:rsidR="00D668F6" w14:paraId="55D8F008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AFB96AC" w14:textId="77777777" w:rsidR="00D668F6" w:rsidRDefault="00D668F6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მ.შ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კაპიტალური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0D00E5D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87,413.9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8C3E360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45,559.1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DF68854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52.1%</w:t>
            </w:r>
          </w:p>
        </w:tc>
      </w:tr>
      <w:tr w:rsidR="00D668F6" w14:paraId="0B5A1595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E7D43DC" w14:textId="77777777" w:rsidR="00D668F6" w:rsidRDefault="00D668F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სოციალური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26A150C6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1,292,385.4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5A48D88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1,284,726.8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64D64676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D668F6" w14:paraId="196BF41A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9FA9A25" w14:textId="77777777" w:rsidR="00D668F6" w:rsidRDefault="00D668F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DF84CF1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388,863.1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9AC88AC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373,765.5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6B04277E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96.1%</w:t>
            </w:r>
          </w:p>
        </w:tc>
      </w:tr>
      <w:tr w:rsidR="00D668F6" w14:paraId="2DD9A2E2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D804F80" w14:textId="77777777" w:rsidR="00D668F6" w:rsidRDefault="00D668F6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მ.შ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კაპიტალური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ტრანსფერები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რომელიც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სხვაგან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არ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არის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კლასიფიცირებული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E76DB56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110,254.5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0C9330E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102,255.2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1B87E7F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92.7%</w:t>
            </w:r>
          </w:p>
        </w:tc>
      </w:tr>
      <w:tr w:rsidR="00D668F6" w14:paraId="11FA49D1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14A7C4A" w14:textId="77777777" w:rsidR="00D668F6" w:rsidRDefault="00D668F6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საოპერაციო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18EE198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-313,590.3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17185B3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89,325.9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B22D2B5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-28.5%</w:t>
            </w:r>
          </w:p>
        </w:tc>
      </w:tr>
      <w:tr w:rsidR="00D668F6" w14:paraId="4E27D9F5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9EE8528" w14:textId="77777777" w:rsidR="00D668F6" w:rsidRDefault="00D668F6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E772C24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412,991.9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CE54E67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369,611.3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23FD796C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89.5%</w:t>
            </w:r>
          </w:p>
        </w:tc>
      </w:tr>
      <w:tr w:rsidR="00D668F6" w14:paraId="4A5827B1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69E16EE8" w14:textId="77777777" w:rsidR="00D668F6" w:rsidRDefault="00D668F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868B17F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435,991.9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36E083D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413,765.2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F3EE15B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94.9%</w:t>
            </w:r>
          </w:p>
        </w:tc>
      </w:tr>
      <w:tr w:rsidR="00D668F6" w14:paraId="02D0F4AC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2F77DA7" w14:textId="77777777" w:rsidR="00D668F6" w:rsidRDefault="00D668F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B9C4D07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23,000.0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643EBD3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44,153.9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6BAAECE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192.0%</w:t>
            </w:r>
          </w:p>
        </w:tc>
      </w:tr>
      <w:tr w:rsidR="00D668F6" w14:paraId="6D0BDC43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25472A2D" w14:textId="77777777" w:rsidR="00D668F6" w:rsidRDefault="00D668F6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მთლიანი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629C2F6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-726,582.2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B293433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-280,285.5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6C48AC0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38.6%</w:t>
            </w:r>
          </w:p>
        </w:tc>
      </w:tr>
      <w:tr w:rsidR="00D668F6" w14:paraId="0573ADF5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B0DE18F" w14:textId="77777777" w:rsidR="00D668F6" w:rsidRDefault="00D668F6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ფინასური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E932874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-174,560.6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E83CD92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290,303.7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172354E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-166.3%</w:t>
            </w:r>
          </w:p>
        </w:tc>
      </w:tr>
      <w:tr w:rsidR="00D668F6" w14:paraId="2C902C3B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1E54175" w14:textId="77777777" w:rsidR="00D668F6" w:rsidRDefault="00D668F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30CFADA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59,373.7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4002C66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320,613.0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5B42F87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540.0%</w:t>
            </w:r>
          </w:p>
        </w:tc>
      </w:tr>
      <w:tr w:rsidR="00D668F6" w14:paraId="60E201CE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1FD9346" w14:textId="77777777" w:rsidR="00D668F6" w:rsidRDefault="00D668F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6807B4FA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AB6BEC7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273,721.3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FC1979C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 </w:t>
            </w:r>
          </w:p>
        </w:tc>
      </w:tr>
      <w:tr w:rsidR="00D668F6" w14:paraId="177156E4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96C1646" w14:textId="77777777" w:rsidR="00D668F6" w:rsidRDefault="00D668F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229F5E7D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59,373.7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6F899D5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46,891.7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A32519B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79.0%</w:t>
            </w:r>
          </w:p>
        </w:tc>
      </w:tr>
      <w:tr w:rsidR="00D668F6" w14:paraId="47176FD8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21F296A" w14:textId="77777777" w:rsidR="00D668F6" w:rsidRDefault="00D668F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084B761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233,934.3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6E7BBF0E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30,309.3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C5D6C7B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13.0%</w:t>
            </w:r>
          </w:p>
        </w:tc>
      </w:tr>
      <w:tr w:rsidR="00D668F6" w14:paraId="7E47EAE1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692A7E0B" w14:textId="77777777" w:rsidR="00D668F6" w:rsidRDefault="00D668F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E325E44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203,434.3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D570A42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F313840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D668F6" w14:paraId="1194324F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280AAEB4" w14:textId="77777777" w:rsidR="00D668F6" w:rsidRDefault="00D668F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CDCF7B2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30,500.0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4174C5F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30,309.3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CD990C9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D668F6" w14:paraId="4A704DD6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D5AB884" w14:textId="77777777" w:rsidR="00D668F6" w:rsidRDefault="00D668F6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C65AC85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552,021.6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3983ADE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570,589.2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217143E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103.4%</w:t>
            </w:r>
          </w:p>
        </w:tc>
      </w:tr>
      <w:tr w:rsidR="00D668F6" w14:paraId="3765686B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166F73D" w14:textId="77777777" w:rsidR="00D668F6" w:rsidRDefault="00D668F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627D099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805,950.7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07A7DEE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822,563.5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263E1982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102.1%</w:t>
            </w:r>
          </w:p>
        </w:tc>
      </w:tr>
      <w:tr w:rsidR="00D668F6" w14:paraId="4FE7E2CD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863A2B1" w14:textId="77777777" w:rsidR="00D668F6" w:rsidRDefault="00D668F6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16547A1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360,000.0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579B179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358,156.1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89A3B75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99.5%</w:t>
            </w:r>
          </w:p>
        </w:tc>
      </w:tr>
      <w:tr w:rsidR="00D668F6" w14:paraId="1B9B288C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DF4B083" w14:textId="59FD18E8" w:rsidR="00D668F6" w:rsidRDefault="00D668F6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  <w:r w:rsidR="00A30550">
              <w:rPr>
                <w:rFonts w:ascii="Sylfaen" w:hAnsi="Sylfaen" w:cs="Calibri"/>
                <w:color w:val="86008A"/>
                <w:sz w:val="20"/>
                <w:szCs w:val="20"/>
              </w:rPr>
              <w:t>*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F24437D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360,000.0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2D3E1191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358,156.1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134A498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D668F6" w14:paraId="2A123AF7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3590CEB" w14:textId="77777777" w:rsidR="00D668F6" w:rsidRDefault="00D668F6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A515A7A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445,950.7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E08E29F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464,407.4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5EAC19B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104.1%</w:t>
            </w:r>
          </w:p>
        </w:tc>
      </w:tr>
      <w:tr w:rsidR="00D668F6" w14:paraId="467399EE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86CDF8A" w14:textId="77777777" w:rsidR="00D668F6" w:rsidRDefault="00D668F6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23C86164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445,950.7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94CEBE7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464,407.4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702EE0F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104.1%</w:t>
            </w:r>
          </w:p>
        </w:tc>
      </w:tr>
      <w:tr w:rsidR="00D668F6" w14:paraId="513AC877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BE50944" w14:textId="77777777" w:rsidR="00D668F6" w:rsidRDefault="00D668F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CA14C51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253,929.1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2F9BEBA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251,974.4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216D6C9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99.2%</w:t>
            </w:r>
          </w:p>
        </w:tc>
      </w:tr>
      <w:tr w:rsidR="00D668F6" w14:paraId="4A6839B1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7296933" w14:textId="77777777" w:rsidR="00D668F6" w:rsidRDefault="00D668F6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6AB5BFE9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12,129.1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9904D8C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12,129.1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FFBD006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D668F6" w14:paraId="3C0DD384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B7A0808" w14:textId="77777777" w:rsidR="00D668F6" w:rsidRDefault="00D668F6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392CE62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10,000.0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22045747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10,000.0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B94F1D2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D668F6" w14:paraId="362013D7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9783AB4" w14:textId="77777777" w:rsidR="00D668F6" w:rsidRDefault="00D668F6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lastRenderedPageBreak/>
              <w:t>სესხები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470FDBC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2,129.1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DC2CFF7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2,129.1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5B11930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D668F6" w14:paraId="15C0AF46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7A5EAF0" w14:textId="77777777" w:rsidR="00D668F6" w:rsidRDefault="00D668F6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332A5C6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241,800.0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90E5354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239,845.2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59F9269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99.2%</w:t>
            </w:r>
          </w:p>
        </w:tc>
      </w:tr>
      <w:tr w:rsidR="00D668F6" w14:paraId="60F27237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C10BDD7" w14:textId="77777777" w:rsidR="00D668F6" w:rsidRDefault="00D668F6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94F976E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241,800.0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D7124E4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239,845.2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8A0EEB5" w14:textId="77777777" w:rsidR="00D668F6" w:rsidRDefault="00D668F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D668F6" w14:paraId="7F0C0A72" w14:textId="77777777" w:rsidTr="00D668F6">
        <w:trPr>
          <w:trHeight w:val="288"/>
        </w:trPr>
        <w:tc>
          <w:tcPr>
            <w:tcW w:w="2693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014875D" w14:textId="77777777" w:rsidR="00D668F6" w:rsidRDefault="00D668F6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ბალანსი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E99DD64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2FCF20AB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82503B5" w14:textId="77777777" w:rsidR="00D668F6" w:rsidRDefault="00D668F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</w:tbl>
    <w:p w14:paraId="53400AA4" w14:textId="77777777" w:rsidR="00D668F6" w:rsidRDefault="00D668F6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D6D23D0" w14:textId="77777777" w:rsidR="00F23336" w:rsidRDefault="00F23336" w:rsidP="00652C6E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ka-GE"/>
        </w:rPr>
      </w:pPr>
    </w:p>
    <w:p w14:paraId="7F039237" w14:textId="611BE44B" w:rsidR="001D45AF" w:rsidRDefault="001D45AF" w:rsidP="001D45AF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  <w:r w:rsidRPr="00A30550">
        <w:rPr>
          <w:rFonts w:ascii="Sylfaen" w:hAnsi="Sylfaen"/>
          <w:i/>
          <w:noProof/>
          <w:sz w:val="18"/>
          <w:szCs w:val="18"/>
          <w:lang w:val="pt-BR"/>
        </w:rPr>
        <w:t>*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 xml:space="preserve">შენიშვნა: საანგარიშო პერიოდში ფასიანი ქაღალდების რეალიზაციით მიღებულმა თანხამ </w:t>
      </w:r>
      <w:r w:rsidR="00D668F6" w:rsidRPr="00A30550">
        <w:rPr>
          <w:rFonts w:ascii="Sylfaen" w:hAnsi="Sylfaen"/>
          <w:i/>
          <w:noProof/>
          <w:sz w:val="18"/>
          <w:szCs w:val="18"/>
          <w:lang w:val="pt-BR"/>
        </w:rPr>
        <w:t>725,899.8</w:t>
      </w:r>
      <w:r w:rsidRPr="00A30550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 xml:space="preserve">ათასი ლარი, ხოლო ძირითადი თანხის დაფარვამ </w:t>
      </w:r>
      <w:r w:rsidR="00D668F6" w:rsidRPr="00A30550">
        <w:rPr>
          <w:rFonts w:ascii="Sylfaen" w:hAnsi="Sylfaen"/>
          <w:i/>
          <w:noProof/>
          <w:sz w:val="18"/>
          <w:szCs w:val="18"/>
          <w:lang w:val="pt-BR"/>
        </w:rPr>
        <w:t>367,743.7</w:t>
      </w:r>
      <w:r w:rsidRPr="00A30550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>ათასი ლარი შეადგინა. შესაბამისად, სახაზინო ვალდებულებების და სახაზინო ობლიგაციების გამოშვების შედეგად, საშინაო ვალდებულების</w:t>
      </w:r>
      <w:r w:rsidRPr="00A30550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 xml:space="preserve">ზრდამ შეადგინა  </w:t>
      </w:r>
      <w:r w:rsidR="00D668F6" w:rsidRPr="00A30550">
        <w:rPr>
          <w:rFonts w:ascii="Sylfaen" w:hAnsi="Sylfaen"/>
          <w:i/>
          <w:noProof/>
          <w:sz w:val="18"/>
          <w:szCs w:val="18"/>
          <w:lang w:val="pt-BR"/>
        </w:rPr>
        <w:t xml:space="preserve">358,156.1 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>ათასი ლარი.</w:t>
      </w:r>
    </w:p>
    <w:p w14:paraId="470D35E6" w14:textId="77777777" w:rsidR="00F23336" w:rsidRDefault="00F23336" w:rsidP="00652C6E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ka-GE"/>
        </w:rPr>
      </w:pPr>
    </w:p>
    <w:p w14:paraId="60D9A460" w14:textId="77777777" w:rsidR="001D45AF" w:rsidRPr="00A233FA" w:rsidRDefault="001D45AF" w:rsidP="00652C6E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</w:p>
    <w:p w14:paraId="1883DF54" w14:textId="77777777" w:rsidR="00636269" w:rsidRDefault="00636269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14:paraId="161B54F0" w14:textId="77777777" w:rsidR="00885245" w:rsidRDefault="00885245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14:paraId="3196303D" w14:textId="791EDF76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65"/>
        <w:gridCol w:w="1744"/>
        <w:gridCol w:w="1648"/>
        <w:gridCol w:w="1543"/>
      </w:tblGrid>
      <w:tr w:rsidR="00A30550" w14:paraId="46E0AC27" w14:textId="77777777" w:rsidTr="00A30550">
        <w:trPr>
          <w:trHeight w:val="288"/>
        </w:trPr>
        <w:tc>
          <w:tcPr>
            <w:tcW w:w="2694" w:type="pct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69B084E0" w14:textId="77777777" w:rsidR="00A30550" w:rsidRDefault="00A3055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`</w:t>
            </w:r>
          </w:p>
        </w:tc>
        <w:tc>
          <w:tcPr>
            <w:tcW w:w="815" w:type="pct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3E6874D" w14:textId="77777777" w:rsidR="00A30550" w:rsidRDefault="00A3055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70" w:type="pct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2DE16D77" w14:textId="77777777" w:rsidR="00A30550" w:rsidRDefault="00A3055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C313590" w14:textId="77777777" w:rsidR="00A30550" w:rsidRDefault="00A3055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A30550" w14:paraId="1F864BEE" w14:textId="77777777" w:rsidTr="00A30550">
        <w:trPr>
          <w:trHeight w:val="288"/>
        </w:trPr>
        <w:tc>
          <w:tcPr>
            <w:tcW w:w="2694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4394204" w14:textId="77777777" w:rsidR="00A30550" w:rsidRDefault="00A3055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3A651DF" w14:textId="77777777" w:rsidR="00A30550" w:rsidRDefault="00A3055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3,495,267.7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6E9F9740" w14:textId="77777777" w:rsidR="00A30550" w:rsidRDefault="00A3055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3,736,504.9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B7A57C6" w14:textId="77777777" w:rsidR="00A30550" w:rsidRDefault="00A3055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106.9%</w:t>
            </w:r>
          </w:p>
        </w:tc>
      </w:tr>
      <w:tr w:rsidR="00A30550" w14:paraId="20C32CA5" w14:textId="77777777" w:rsidTr="00A30550">
        <w:trPr>
          <w:trHeight w:val="288"/>
        </w:trPr>
        <w:tc>
          <w:tcPr>
            <w:tcW w:w="2694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E1BACD1" w14:textId="77777777" w:rsidR="00A30550" w:rsidRDefault="00A3055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6C1D972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2,635,817.0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5BFA648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2,839,478.2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45AF704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107.7%</w:t>
            </w:r>
          </w:p>
        </w:tc>
      </w:tr>
      <w:tr w:rsidR="00A30550" w14:paraId="3F838E63" w14:textId="77777777" w:rsidTr="00A30550">
        <w:trPr>
          <w:trHeight w:val="288"/>
        </w:trPr>
        <w:tc>
          <w:tcPr>
            <w:tcW w:w="2694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A9487C3" w14:textId="77777777" w:rsidR="00A30550" w:rsidRDefault="00A3055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2F292B2B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23,000.0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969D6AE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44,153.9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C5DA4AE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192.0%</w:t>
            </w:r>
          </w:p>
        </w:tc>
      </w:tr>
      <w:tr w:rsidR="00A30550" w14:paraId="17D08AE4" w14:textId="77777777" w:rsidTr="00A30550">
        <w:trPr>
          <w:trHeight w:val="288"/>
        </w:trPr>
        <w:tc>
          <w:tcPr>
            <w:tcW w:w="2694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4FA4A60" w14:textId="77777777" w:rsidR="00A30550" w:rsidRDefault="00A3055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10419A0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30,500.0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557ACF3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30,309.3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F92A4FE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A30550" w14:paraId="4F7F25B7" w14:textId="77777777" w:rsidTr="00A30550">
        <w:trPr>
          <w:trHeight w:val="288"/>
        </w:trPr>
        <w:tc>
          <w:tcPr>
            <w:tcW w:w="2694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66D0A1F" w14:textId="77777777" w:rsidR="00A30550" w:rsidRDefault="00A3055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02A1112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805,950.7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8DD8FCB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822,563.5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26E237B0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102.1%</w:t>
            </w:r>
          </w:p>
        </w:tc>
      </w:tr>
      <w:tr w:rsidR="00A30550" w14:paraId="6ED96D0A" w14:textId="77777777" w:rsidTr="00A30550">
        <w:trPr>
          <w:trHeight w:val="288"/>
        </w:trPr>
        <w:tc>
          <w:tcPr>
            <w:tcW w:w="2694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BD6C1F5" w14:textId="77777777" w:rsidR="00A30550" w:rsidRDefault="00A3055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8DBC418" w14:textId="77777777" w:rsidR="00A30550" w:rsidRDefault="00A3055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3,698,702.0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1FEC2BC" w14:textId="77777777" w:rsidR="00A30550" w:rsidRDefault="00A3055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3,462,783.7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25815CFF" w14:textId="77777777" w:rsidR="00A30550" w:rsidRDefault="00A3055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93.6%</w:t>
            </w:r>
          </w:p>
        </w:tc>
      </w:tr>
      <w:tr w:rsidR="00A30550" w14:paraId="7CF44972" w14:textId="77777777" w:rsidTr="00A30550">
        <w:trPr>
          <w:trHeight w:val="288"/>
        </w:trPr>
        <w:tc>
          <w:tcPr>
            <w:tcW w:w="2694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263917A3" w14:textId="77777777" w:rsidR="00A30550" w:rsidRDefault="00A3055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74C9D8E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2,949,407.3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1454C84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2,750,152.4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6A954E93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93.2%</w:t>
            </w:r>
          </w:p>
        </w:tc>
      </w:tr>
      <w:tr w:rsidR="00A30550" w14:paraId="6A8673DE" w14:textId="77777777" w:rsidTr="00A30550">
        <w:trPr>
          <w:trHeight w:val="288"/>
        </w:trPr>
        <w:tc>
          <w:tcPr>
            <w:tcW w:w="2694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2B297C5" w14:textId="77777777" w:rsidR="00A30550" w:rsidRDefault="00A3055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875360F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435,991.9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23A7C0F5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413,765.2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5A232DE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94.9%</w:t>
            </w:r>
          </w:p>
        </w:tc>
      </w:tr>
      <w:tr w:rsidR="00A30550" w14:paraId="6769DE4B" w14:textId="77777777" w:rsidTr="00A30550">
        <w:trPr>
          <w:trHeight w:val="288"/>
        </w:trPr>
        <w:tc>
          <w:tcPr>
            <w:tcW w:w="2694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3180A5A" w14:textId="77777777" w:rsidR="00A30550" w:rsidRDefault="00A3055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C51FE75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59,373.7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09B873A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46,891.7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299F82CE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79.0%</w:t>
            </w:r>
          </w:p>
        </w:tc>
      </w:tr>
      <w:tr w:rsidR="00A30550" w14:paraId="5A97949D" w14:textId="77777777" w:rsidTr="00A30550">
        <w:trPr>
          <w:trHeight w:val="288"/>
        </w:trPr>
        <w:tc>
          <w:tcPr>
            <w:tcW w:w="2694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6381CBB2" w14:textId="77777777" w:rsidR="00A30550" w:rsidRDefault="00A3055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5704D73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253,929.1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057E9D4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251,974.4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7B23493" w14:textId="77777777" w:rsidR="00A30550" w:rsidRDefault="00A3055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A30550" w14:paraId="739B791F" w14:textId="77777777" w:rsidTr="00A30550">
        <w:trPr>
          <w:trHeight w:val="288"/>
        </w:trPr>
        <w:tc>
          <w:tcPr>
            <w:tcW w:w="2694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42D2122" w14:textId="77777777" w:rsidR="00A30550" w:rsidRDefault="00A3055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525CBD83" w14:textId="77777777" w:rsidR="00A30550" w:rsidRDefault="00A3055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-203,434.3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4ADF3237" w14:textId="77777777" w:rsidR="00A30550" w:rsidRDefault="00A3055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273,721.3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6F9649D6" w14:textId="77777777" w:rsidR="00A30550" w:rsidRDefault="00A3055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-134.6%</w:t>
            </w:r>
          </w:p>
        </w:tc>
      </w:tr>
    </w:tbl>
    <w:p w14:paraId="306FB811" w14:textId="48F523F1" w:rsidR="00A30550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F709E20" w14:textId="77777777" w:rsidR="00A30550" w:rsidRPr="00776AEE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E37BBDA" w14:textId="77777777" w:rsidR="00885245" w:rsidRPr="00D32159" w:rsidRDefault="00885245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885245" w:rsidRPr="00D32159" w:rsidSect="00D71170">
      <w:footerReference w:type="even" r:id="rId8"/>
      <w:footerReference w:type="default" r:id="rId9"/>
      <w:pgSz w:w="12240" w:h="15840"/>
      <w:pgMar w:top="720" w:right="72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009CB" w14:textId="77777777" w:rsidR="00174103" w:rsidRDefault="00174103">
      <w:r>
        <w:separator/>
      </w:r>
    </w:p>
  </w:endnote>
  <w:endnote w:type="continuationSeparator" w:id="0">
    <w:p w14:paraId="0F0D6A24" w14:textId="77777777" w:rsidR="00174103" w:rsidRDefault="0017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altName w:val="Calibri"/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7D38" w14:textId="77777777" w:rsidR="00267CE1" w:rsidRDefault="00267CE1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7056" w14:textId="77777777" w:rsidR="00267CE1" w:rsidRDefault="00267CE1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BBD0" w14:textId="7EE78405" w:rsidR="00267CE1" w:rsidRDefault="00267C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01FE">
      <w:rPr>
        <w:noProof/>
      </w:rPr>
      <w:t>2</w:t>
    </w:r>
    <w:r>
      <w:rPr>
        <w:noProof/>
      </w:rPr>
      <w:fldChar w:fldCharType="end"/>
    </w:r>
  </w:p>
  <w:p w14:paraId="69DCE317" w14:textId="77777777" w:rsidR="00267CE1" w:rsidRDefault="00267CE1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A67EB" w14:textId="77777777" w:rsidR="00174103" w:rsidRDefault="00174103">
      <w:r>
        <w:separator/>
      </w:r>
    </w:p>
  </w:footnote>
  <w:footnote w:type="continuationSeparator" w:id="0">
    <w:p w14:paraId="0AC7FE9B" w14:textId="77777777" w:rsidR="00174103" w:rsidRDefault="00174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1196"/>
    <w:rsid w:val="00002D7D"/>
    <w:rsid w:val="00012D23"/>
    <w:rsid w:val="00027F05"/>
    <w:rsid w:val="00040F37"/>
    <w:rsid w:val="00051D0D"/>
    <w:rsid w:val="0005206E"/>
    <w:rsid w:val="00064ADD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2D08"/>
    <w:rsid w:val="00174103"/>
    <w:rsid w:val="00177D45"/>
    <w:rsid w:val="00185F45"/>
    <w:rsid w:val="0018751E"/>
    <w:rsid w:val="001A5533"/>
    <w:rsid w:val="001B3125"/>
    <w:rsid w:val="001B62EE"/>
    <w:rsid w:val="001B75A1"/>
    <w:rsid w:val="001C64D6"/>
    <w:rsid w:val="001D152F"/>
    <w:rsid w:val="001D45A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67CE1"/>
    <w:rsid w:val="00287DF1"/>
    <w:rsid w:val="002B2E3C"/>
    <w:rsid w:val="002B78B1"/>
    <w:rsid w:val="002C3AF9"/>
    <w:rsid w:val="002C79A8"/>
    <w:rsid w:val="002D01DA"/>
    <w:rsid w:val="002E4DC7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C4559"/>
    <w:rsid w:val="003C49A9"/>
    <w:rsid w:val="003D0151"/>
    <w:rsid w:val="003D6681"/>
    <w:rsid w:val="003E52D2"/>
    <w:rsid w:val="003F07EC"/>
    <w:rsid w:val="003F0D9B"/>
    <w:rsid w:val="003F0FE5"/>
    <w:rsid w:val="00400B84"/>
    <w:rsid w:val="00407E7B"/>
    <w:rsid w:val="00413797"/>
    <w:rsid w:val="004250C8"/>
    <w:rsid w:val="00431C48"/>
    <w:rsid w:val="00434D4A"/>
    <w:rsid w:val="0044358D"/>
    <w:rsid w:val="0044494C"/>
    <w:rsid w:val="004552CA"/>
    <w:rsid w:val="00460453"/>
    <w:rsid w:val="004651CC"/>
    <w:rsid w:val="004654B7"/>
    <w:rsid w:val="0047215B"/>
    <w:rsid w:val="0047670D"/>
    <w:rsid w:val="0047735E"/>
    <w:rsid w:val="004828F2"/>
    <w:rsid w:val="0048644F"/>
    <w:rsid w:val="004B2B62"/>
    <w:rsid w:val="004C4F17"/>
    <w:rsid w:val="004E7B74"/>
    <w:rsid w:val="004F3D40"/>
    <w:rsid w:val="00511CEC"/>
    <w:rsid w:val="005316BC"/>
    <w:rsid w:val="0053556F"/>
    <w:rsid w:val="00545297"/>
    <w:rsid w:val="005531DE"/>
    <w:rsid w:val="00564558"/>
    <w:rsid w:val="005702C8"/>
    <w:rsid w:val="0057122F"/>
    <w:rsid w:val="00571979"/>
    <w:rsid w:val="005B0918"/>
    <w:rsid w:val="005B6FDA"/>
    <w:rsid w:val="005D77D7"/>
    <w:rsid w:val="005E4481"/>
    <w:rsid w:val="005F6E87"/>
    <w:rsid w:val="005F6FEF"/>
    <w:rsid w:val="0060447B"/>
    <w:rsid w:val="006142D5"/>
    <w:rsid w:val="0062284F"/>
    <w:rsid w:val="00623050"/>
    <w:rsid w:val="00624E0B"/>
    <w:rsid w:val="00636269"/>
    <w:rsid w:val="00652C6E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B79C8"/>
    <w:rsid w:val="006D0DA2"/>
    <w:rsid w:val="006D74A5"/>
    <w:rsid w:val="006E1021"/>
    <w:rsid w:val="006E3EA9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0119"/>
    <w:rsid w:val="007E1C23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935EC4"/>
    <w:rsid w:val="00952990"/>
    <w:rsid w:val="00965823"/>
    <w:rsid w:val="00986349"/>
    <w:rsid w:val="00996EFF"/>
    <w:rsid w:val="009A3439"/>
    <w:rsid w:val="009A7F97"/>
    <w:rsid w:val="009B0108"/>
    <w:rsid w:val="009B7250"/>
    <w:rsid w:val="009C4A57"/>
    <w:rsid w:val="009D451A"/>
    <w:rsid w:val="009E2932"/>
    <w:rsid w:val="00A233FA"/>
    <w:rsid w:val="00A30550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A7F7C"/>
    <w:rsid w:val="00AB08FF"/>
    <w:rsid w:val="00AB3A76"/>
    <w:rsid w:val="00AB4A5D"/>
    <w:rsid w:val="00AC2CCB"/>
    <w:rsid w:val="00AC5AAF"/>
    <w:rsid w:val="00B00200"/>
    <w:rsid w:val="00B02D73"/>
    <w:rsid w:val="00B06075"/>
    <w:rsid w:val="00B06C33"/>
    <w:rsid w:val="00B1624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DD1"/>
    <w:rsid w:val="00C278ED"/>
    <w:rsid w:val="00C30BAA"/>
    <w:rsid w:val="00C34AB5"/>
    <w:rsid w:val="00C44823"/>
    <w:rsid w:val="00C46EF8"/>
    <w:rsid w:val="00C510D5"/>
    <w:rsid w:val="00C5250A"/>
    <w:rsid w:val="00C57C99"/>
    <w:rsid w:val="00C636AC"/>
    <w:rsid w:val="00C71573"/>
    <w:rsid w:val="00C92323"/>
    <w:rsid w:val="00C94226"/>
    <w:rsid w:val="00C94613"/>
    <w:rsid w:val="00C96820"/>
    <w:rsid w:val="00C9697E"/>
    <w:rsid w:val="00C97D18"/>
    <w:rsid w:val="00CA102B"/>
    <w:rsid w:val="00CA234A"/>
    <w:rsid w:val="00CB035B"/>
    <w:rsid w:val="00CB207F"/>
    <w:rsid w:val="00CB63C8"/>
    <w:rsid w:val="00CD2D4B"/>
    <w:rsid w:val="00CD505B"/>
    <w:rsid w:val="00CE1C59"/>
    <w:rsid w:val="00CE299B"/>
    <w:rsid w:val="00CE64A3"/>
    <w:rsid w:val="00CF6ACD"/>
    <w:rsid w:val="00CF74B6"/>
    <w:rsid w:val="00CF799B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54373"/>
    <w:rsid w:val="00D611AD"/>
    <w:rsid w:val="00D668F6"/>
    <w:rsid w:val="00D67212"/>
    <w:rsid w:val="00D71170"/>
    <w:rsid w:val="00D7710C"/>
    <w:rsid w:val="00D94D25"/>
    <w:rsid w:val="00D97448"/>
    <w:rsid w:val="00DB3985"/>
    <w:rsid w:val="00DB7063"/>
    <w:rsid w:val="00DB73BD"/>
    <w:rsid w:val="00DC01FE"/>
    <w:rsid w:val="00DC5C16"/>
    <w:rsid w:val="00DD1B16"/>
    <w:rsid w:val="00DD24EA"/>
    <w:rsid w:val="00DE4836"/>
    <w:rsid w:val="00DF1CEF"/>
    <w:rsid w:val="00DF4D8E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57DEA"/>
    <w:rsid w:val="00E679EE"/>
    <w:rsid w:val="00E67F58"/>
    <w:rsid w:val="00E7329E"/>
    <w:rsid w:val="00E77271"/>
    <w:rsid w:val="00EA5D53"/>
    <w:rsid w:val="00EB4258"/>
    <w:rsid w:val="00EC2A3C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23336"/>
    <w:rsid w:val="00F2735D"/>
    <w:rsid w:val="00F6396D"/>
    <w:rsid w:val="00F64FB6"/>
    <w:rsid w:val="00F67EBE"/>
    <w:rsid w:val="00F76B42"/>
    <w:rsid w:val="00F84091"/>
    <w:rsid w:val="00F85E78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AF19F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83EE1-9425-4C50-93C9-2986AE2E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4</cp:revision>
  <cp:lastPrinted>2019-04-23T07:12:00Z</cp:lastPrinted>
  <dcterms:created xsi:type="dcterms:W3CDTF">2020-04-24T06:33:00Z</dcterms:created>
  <dcterms:modified xsi:type="dcterms:W3CDTF">2020-04-30T09:50:00Z</dcterms:modified>
</cp:coreProperties>
</file>